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2D" w:rsidRDefault="00884A2D" w:rsidP="0074275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40.25pt">
            <v:imagedata r:id="rId7" o:title=""/>
          </v:shape>
        </w:pict>
      </w:r>
    </w:p>
    <w:p w:rsidR="00884A2D" w:rsidRPr="003528AF" w:rsidRDefault="00884A2D" w:rsidP="00742751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884A2D" w:rsidRPr="00A96C53" w:rsidRDefault="00884A2D" w:rsidP="00742751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884A2D" w:rsidRPr="0087369C" w:rsidRDefault="00884A2D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</w:t>
      </w:r>
      <w:r>
        <w:rPr>
          <w:sz w:val="96"/>
          <w:szCs w:val="96"/>
        </w:rPr>
        <w:t>2</w:t>
      </w:r>
    </w:p>
    <w:p w:rsidR="00884A2D" w:rsidRPr="003179E0" w:rsidRDefault="00884A2D" w:rsidP="00B720BC">
      <w:pPr>
        <w:jc w:val="center"/>
        <w:rPr>
          <w:sz w:val="72"/>
          <w:szCs w:val="72"/>
        </w:rPr>
      </w:pPr>
      <w:r w:rsidRPr="003179E0">
        <w:rPr>
          <w:sz w:val="72"/>
          <w:szCs w:val="72"/>
        </w:rPr>
        <w:t>Vocabulary, Grammar and Punctuation Appendix</w:t>
      </w:r>
    </w:p>
    <w:p w:rsidR="00884A2D" w:rsidRDefault="00884A2D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</w:t>
      </w:r>
      <w:r>
        <w:rPr>
          <w:sz w:val="28"/>
          <w:szCs w:val="28"/>
        </w:rPr>
        <w:t>ocument contains the Y2 Vocabulary, Grammar and Punctuation</w:t>
      </w:r>
      <w:r w:rsidRPr="00F00BAD">
        <w:rPr>
          <w:sz w:val="28"/>
          <w:szCs w:val="28"/>
        </w:rPr>
        <w:t xml:space="preserve"> appendix and should be used to support the planni</w:t>
      </w:r>
      <w:r>
        <w:rPr>
          <w:sz w:val="28"/>
          <w:szCs w:val="28"/>
        </w:rPr>
        <w:t>ng, teaching and learning of Spelling in Year 2</w:t>
      </w:r>
      <w:r w:rsidRPr="00F00BAD">
        <w:rPr>
          <w:sz w:val="28"/>
          <w:szCs w:val="28"/>
        </w:rPr>
        <w:t>.</w:t>
      </w:r>
    </w:p>
    <w:tbl>
      <w:tblPr>
        <w:tblW w:w="0" w:type="auto"/>
        <w:tblInd w:w="-111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1701"/>
        <w:gridCol w:w="7938"/>
      </w:tblGrid>
      <w:tr w:rsidR="00884A2D" w:rsidRPr="008814B8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884A2D" w:rsidRPr="008814B8" w:rsidRDefault="00884A2D" w:rsidP="00604639">
            <w:pPr>
              <w:pStyle w:val="Heading4"/>
              <w:spacing w:before="60"/>
              <w:rPr>
                <w:rFonts w:cs="Times New Roman"/>
              </w:rPr>
            </w:pPr>
            <w:r w:rsidRPr="008814B8">
              <w:rPr>
                <w:rFonts w:cs="Times New Roman"/>
              </w:rPr>
              <w:t>Year 2: Detail of content to be introduced (statutory requirement)</w:t>
            </w:r>
          </w:p>
        </w:tc>
      </w:tr>
      <w:tr w:rsidR="00884A2D" w:rsidRPr="008814B8">
        <w:trPr>
          <w:cantSplit/>
        </w:trPr>
        <w:tc>
          <w:tcPr>
            <w:tcW w:w="1701" w:type="dxa"/>
          </w:tcPr>
          <w:p w:rsidR="00884A2D" w:rsidRPr="008814B8" w:rsidRDefault="00884A2D" w:rsidP="00604639">
            <w:pPr>
              <w:spacing w:before="60" w:after="60"/>
              <w:rPr>
                <w:b/>
                <w:bCs/>
              </w:rPr>
            </w:pPr>
            <w:r w:rsidRPr="008814B8">
              <w:rPr>
                <w:b/>
                <w:bCs/>
              </w:rPr>
              <w:t>Word</w:t>
            </w:r>
          </w:p>
        </w:tc>
        <w:tc>
          <w:tcPr>
            <w:tcW w:w="7938" w:type="dxa"/>
          </w:tcPr>
          <w:p w:rsidR="00884A2D" w:rsidRPr="008814B8" w:rsidRDefault="00884A2D" w:rsidP="00604639">
            <w:pPr>
              <w:spacing w:before="60" w:after="60"/>
            </w:pPr>
            <w:r w:rsidRPr="008814B8">
              <w:t xml:space="preserve">Formation of </w:t>
            </w:r>
            <w:r w:rsidRPr="008814B8">
              <w:rPr>
                <w:b/>
                <w:bCs/>
              </w:rPr>
              <w:t>nouns</w:t>
            </w:r>
            <w:r w:rsidRPr="008814B8">
              <w:t xml:space="preserve"> using </w:t>
            </w:r>
            <w:r w:rsidRPr="008814B8">
              <w:rPr>
                <w:b/>
                <w:bCs/>
              </w:rPr>
              <w:t>suffixes</w:t>
            </w:r>
            <w:r w:rsidRPr="008814B8">
              <w:t xml:space="preserve"> such as –</w:t>
            </w:r>
            <w:r w:rsidRPr="008814B8">
              <w:rPr>
                <w:i/>
                <w:iCs/>
              </w:rPr>
              <w:t>ness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–er</w:t>
            </w:r>
            <w:r w:rsidRPr="008814B8">
              <w:t xml:space="preserve"> and by compounding [for example, </w:t>
            </w:r>
            <w:r w:rsidRPr="008814B8">
              <w:rPr>
                <w:i/>
                <w:iCs/>
              </w:rPr>
              <w:t>whiteboard</w:t>
            </w:r>
            <w:r w:rsidRPr="008814B8">
              <w:t xml:space="preserve">, </w:t>
            </w:r>
            <w:r w:rsidRPr="008814B8">
              <w:rPr>
                <w:i/>
                <w:iCs/>
              </w:rPr>
              <w:t>superman</w:t>
            </w:r>
            <w:r w:rsidRPr="008814B8">
              <w:t>]</w:t>
            </w:r>
          </w:p>
          <w:p w:rsidR="00884A2D" w:rsidRPr="008814B8" w:rsidRDefault="00884A2D" w:rsidP="00604639">
            <w:pPr>
              <w:spacing w:before="60" w:after="60"/>
              <w:rPr>
                <w:i/>
                <w:iCs/>
              </w:rPr>
            </w:pPr>
            <w:r w:rsidRPr="008814B8">
              <w:t xml:space="preserve">Formation of </w:t>
            </w:r>
            <w:r w:rsidRPr="008814B8">
              <w:rPr>
                <w:b/>
                <w:bCs/>
              </w:rPr>
              <w:t>adjectives</w:t>
            </w:r>
            <w:r w:rsidRPr="008814B8">
              <w:t xml:space="preserve"> using </w:t>
            </w:r>
            <w:r w:rsidRPr="008814B8">
              <w:rPr>
                <w:b/>
                <w:bCs/>
              </w:rPr>
              <w:t>suffixes</w:t>
            </w:r>
            <w:r w:rsidRPr="008814B8">
              <w:t xml:space="preserve"> such as </w:t>
            </w:r>
            <w:r w:rsidRPr="008814B8">
              <w:rPr>
                <w:i/>
                <w:iCs/>
              </w:rPr>
              <w:t>–ful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–less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 xml:space="preserve">(A fuller list of </w:t>
            </w:r>
            <w:r w:rsidRPr="008814B8">
              <w:rPr>
                <w:b/>
                <w:bCs/>
              </w:rPr>
              <w:t>suffixes</w:t>
            </w:r>
            <w:r w:rsidRPr="008814B8">
              <w:t xml:space="preserve"> can be found on page </w:t>
            </w:r>
            <w:r w:rsidRPr="008814B8">
              <w:rPr>
                <w:color w:val="104F75"/>
                <w:u w:val="single"/>
              </w:rPr>
              <w:fldChar w:fldCharType="begin"/>
            </w:r>
            <w:r w:rsidRPr="008814B8">
              <w:rPr>
                <w:color w:val="104F75"/>
                <w:u w:val="single"/>
              </w:rPr>
              <w:instrText xml:space="preserve"> PAGEREF suffixesexamples \h </w:instrText>
            </w:r>
            <w:r w:rsidRPr="008814B8">
              <w:rPr>
                <w:color w:val="104F75"/>
                <w:u w:val="single"/>
              </w:rPr>
            </w:r>
            <w:r w:rsidRPr="008814B8">
              <w:rPr>
                <w:color w:val="104F75"/>
                <w:u w:val="single"/>
              </w:rPr>
              <w:fldChar w:fldCharType="separate"/>
            </w:r>
            <w:r w:rsidRPr="008814B8">
              <w:rPr>
                <w:b/>
                <w:bCs/>
                <w:noProof/>
                <w:color w:val="104F75"/>
                <w:u w:val="single"/>
                <w:lang w:val="en-US"/>
              </w:rPr>
              <w:t>Error! Bookmark not defined.</w:t>
            </w:r>
            <w:r w:rsidRPr="008814B8">
              <w:rPr>
                <w:color w:val="104F75"/>
                <w:u w:val="single"/>
              </w:rPr>
              <w:fldChar w:fldCharType="end"/>
            </w:r>
            <w:r w:rsidRPr="008814B8">
              <w:t xml:space="preserve"> in the year 2 spelling section in English Appendix 1)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 xml:space="preserve">Use of the </w:t>
            </w:r>
            <w:r w:rsidRPr="008814B8">
              <w:rPr>
                <w:b/>
                <w:bCs/>
              </w:rPr>
              <w:t>suffixes</w:t>
            </w:r>
            <w:r w:rsidRPr="008814B8">
              <w:rPr>
                <w:i/>
                <w:iCs/>
              </w:rPr>
              <w:t>–er</w:t>
            </w:r>
            <w:r w:rsidRPr="008814B8">
              <w:t xml:space="preserve">, </w:t>
            </w:r>
            <w:r w:rsidRPr="008814B8">
              <w:rPr>
                <w:i/>
                <w:iCs/>
              </w:rPr>
              <w:t>–est</w:t>
            </w:r>
            <w:r w:rsidRPr="008814B8">
              <w:t xml:space="preserve"> in </w:t>
            </w:r>
            <w:r w:rsidRPr="008814B8">
              <w:rPr>
                <w:b/>
                <w:bCs/>
              </w:rPr>
              <w:t>adjectives</w:t>
            </w:r>
            <w:r w:rsidRPr="008814B8">
              <w:t xml:space="preserve"> and the use of –lyin Standard English to turn adjectives into </w:t>
            </w:r>
            <w:r w:rsidRPr="008814B8">
              <w:rPr>
                <w:b/>
                <w:bCs/>
              </w:rPr>
              <w:t>adverbs</w:t>
            </w:r>
          </w:p>
        </w:tc>
      </w:tr>
      <w:tr w:rsidR="00884A2D" w:rsidRPr="008814B8">
        <w:trPr>
          <w:cantSplit/>
        </w:trPr>
        <w:tc>
          <w:tcPr>
            <w:tcW w:w="1701" w:type="dxa"/>
          </w:tcPr>
          <w:p w:rsidR="00884A2D" w:rsidRPr="008814B8" w:rsidRDefault="00884A2D" w:rsidP="00604639">
            <w:pPr>
              <w:spacing w:before="60" w:after="60"/>
              <w:rPr>
                <w:b/>
                <w:bCs/>
              </w:rPr>
            </w:pPr>
            <w:r w:rsidRPr="008814B8">
              <w:rPr>
                <w:b/>
                <w:bCs/>
              </w:rPr>
              <w:t>Sentence</w:t>
            </w:r>
          </w:p>
        </w:tc>
        <w:tc>
          <w:tcPr>
            <w:tcW w:w="7938" w:type="dxa"/>
          </w:tcPr>
          <w:p w:rsidR="00884A2D" w:rsidRPr="008814B8" w:rsidRDefault="00884A2D" w:rsidP="00604639">
            <w:pPr>
              <w:spacing w:before="60" w:after="60"/>
            </w:pPr>
            <w:r w:rsidRPr="008814B8">
              <w:rPr>
                <w:b/>
                <w:bCs/>
              </w:rPr>
              <w:t>Subordination</w:t>
            </w:r>
            <w:r w:rsidRPr="008814B8">
              <w:t xml:space="preserve"> (using </w:t>
            </w:r>
            <w:r w:rsidRPr="008814B8">
              <w:rPr>
                <w:i/>
                <w:iCs/>
              </w:rPr>
              <w:t>when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if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that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because)</w:t>
            </w:r>
            <w:r w:rsidRPr="008814B8">
              <w:t xml:space="preserve"> and </w:t>
            </w:r>
            <w:r w:rsidRPr="008814B8">
              <w:rPr>
                <w:b/>
                <w:bCs/>
              </w:rPr>
              <w:t>co-ordination</w:t>
            </w:r>
            <w:r w:rsidRPr="008814B8">
              <w:t xml:space="preserve"> (using </w:t>
            </w:r>
            <w:r w:rsidRPr="008814B8">
              <w:rPr>
                <w:i/>
                <w:iCs/>
              </w:rPr>
              <w:t>or</w:t>
            </w:r>
            <w:r w:rsidRPr="008814B8">
              <w:t xml:space="preserve">, </w:t>
            </w:r>
            <w:r w:rsidRPr="008814B8">
              <w:rPr>
                <w:i/>
                <w:iCs/>
              </w:rPr>
              <w:t>and</w:t>
            </w:r>
            <w:r w:rsidRPr="008814B8">
              <w:t xml:space="preserve">, </w:t>
            </w:r>
            <w:r w:rsidRPr="008814B8">
              <w:rPr>
                <w:i/>
                <w:iCs/>
              </w:rPr>
              <w:t>but</w:t>
            </w:r>
            <w:r w:rsidRPr="008814B8">
              <w:t>)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 xml:space="preserve">Expanded </w:t>
            </w:r>
            <w:r w:rsidRPr="008814B8">
              <w:rPr>
                <w:b/>
                <w:bCs/>
              </w:rPr>
              <w:t>nounphrases</w:t>
            </w:r>
            <w:r w:rsidRPr="008814B8">
              <w:t xml:space="preserve"> for description and specification [for example, </w:t>
            </w:r>
            <w:r w:rsidRPr="008814B8">
              <w:rPr>
                <w:i/>
                <w:iCs/>
              </w:rPr>
              <w:t>the blue butterfly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plain flour</w:t>
            </w:r>
            <w:r w:rsidRPr="008814B8">
              <w:t>,</w:t>
            </w:r>
            <w:r w:rsidRPr="008814B8">
              <w:rPr>
                <w:i/>
                <w:iCs/>
              </w:rPr>
              <w:t xml:space="preserve"> the man in the moon</w:t>
            </w:r>
            <w:r w:rsidRPr="008814B8">
              <w:t>]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rPr>
                <w:b/>
                <w:bCs/>
              </w:rPr>
              <w:t>How the grammatical patterns in a sentence indicate its function as a</w:t>
            </w:r>
            <w:r w:rsidRPr="008814B8">
              <w:t xml:space="preserve"> statement, question, exclamation or command</w:t>
            </w:r>
          </w:p>
        </w:tc>
      </w:tr>
      <w:tr w:rsidR="00884A2D" w:rsidRPr="008814B8">
        <w:trPr>
          <w:cantSplit/>
        </w:trPr>
        <w:tc>
          <w:tcPr>
            <w:tcW w:w="1701" w:type="dxa"/>
          </w:tcPr>
          <w:p w:rsidR="00884A2D" w:rsidRPr="008814B8" w:rsidRDefault="00884A2D" w:rsidP="00604639">
            <w:pPr>
              <w:spacing w:before="60" w:after="60"/>
              <w:rPr>
                <w:b/>
                <w:bCs/>
              </w:rPr>
            </w:pPr>
            <w:r w:rsidRPr="008814B8">
              <w:rPr>
                <w:b/>
                <w:bCs/>
              </w:rPr>
              <w:t>Text</w:t>
            </w:r>
          </w:p>
        </w:tc>
        <w:tc>
          <w:tcPr>
            <w:tcW w:w="7938" w:type="dxa"/>
          </w:tcPr>
          <w:p w:rsidR="00884A2D" w:rsidRPr="008814B8" w:rsidRDefault="00884A2D" w:rsidP="00604639">
            <w:pPr>
              <w:spacing w:before="60" w:after="60"/>
            </w:pPr>
            <w:r w:rsidRPr="008814B8">
              <w:t xml:space="preserve">Correct choice and consistent use of </w:t>
            </w:r>
            <w:r w:rsidRPr="008814B8">
              <w:rPr>
                <w:b/>
                <w:bCs/>
              </w:rPr>
              <w:t>present tense</w:t>
            </w:r>
            <w:r w:rsidRPr="008814B8">
              <w:t xml:space="preserve"> and </w:t>
            </w:r>
            <w:r w:rsidRPr="008814B8">
              <w:rPr>
                <w:b/>
                <w:bCs/>
              </w:rPr>
              <w:t>pasttense</w:t>
            </w:r>
            <w:r w:rsidRPr="008814B8">
              <w:t xml:space="preserve"> throughout writing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 xml:space="preserve">Use of the </w:t>
            </w:r>
            <w:r w:rsidRPr="008814B8">
              <w:rPr>
                <w:b/>
                <w:bCs/>
              </w:rPr>
              <w:t>progressive</w:t>
            </w:r>
            <w:r w:rsidRPr="008814B8">
              <w:t xml:space="preserve"> formof </w:t>
            </w:r>
            <w:r w:rsidRPr="008814B8">
              <w:rPr>
                <w:b/>
                <w:bCs/>
              </w:rPr>
              <w:t>verbs</w:t>
            </w:r>
            <w:r w:rsidRPr="008814B8">
              <w:t xml:space="preserve"> in the </w:t>
            </w:r>
            <w:r w:rsidRPr="008814B8">
              <w:rPr>
                <w:b/>
                <w:bCs/>
              </w:rPr>
              <w:t>present</w:t>
            </w:r>
            <w:r w:rsidRPr="008814B8">
              <w:t xml:space="preserve"> and </w:t>
            </w:r>
            <w:r w:rsidRPr="008814B8">
              <w:rPr>
                <w:b/>
                <w:bCs/>
              </w:rPr>
              <w:t>pasttense</w:t>
            </w:r>
            <w:r w:rsidRPr="008814B8">
              <w:t xml:space="preserve"> to mark actions in progress [for example,</w:t>
            </w:r>
            <w:r w:rsidRPr="008814B8">
              <w:rPr>
                <w:i/>
                <w:iCs/>
              </w:rPr>
              <w:t>she is drumming</w:t>
            </w:r>
            <w:r w:rsidRPr="008814B8">
              <w:t xml:space="preserve">, </w:t>
            </w:r>
            <w:r w:rsidRPr="008814B8">
              <w:rPr>
                <w:i/>
                <w:iCs/>
              </w:rPr>
              <w:t>he wasshouting</w:t>
            </w:r>
            <w:r w:rsidRPr="008814B8">
              <w:t>]</w:t>
            </w:r>
          </w:p>
        </w:tc>
      </w:tr>
      <w:tr w:rsidR="00884A2D" w:rsidRPr="008814B8">
        <w:trPr>
          <w:cantSplit/>
        </w:trPr>
        <w:tc>
          <w:tcPr>
            <w:tcW w:w="1701" w:type="dxa"/>
          </w:tcPr>
          <w:p w:rsidR="00884A2D" w:rsidRPr="008814B8" w:rsidRDefault="00884A2D" w:rsidP="00604639">
            <w:pPr>
              <w:spacing w:before="60" w:after="60"/>
              <w:rPr>
                <w:b/>
                <w:bCs/>
              </w:rPr>
            </w:pPr>
            <w:r w:rsidRPr="008814B8">
              <w:rPr>
                <w:b/>
                <w:bCs/>
              </w:rPr>
              <w:t>Punctuation</w:t>
            </w:r>
          </w:p>
        </w:tc>
        <w:tc>
          <w:tcPr>
            <w:tcW w:w="7938" w:type="dxa"/>
          </w:tcPr>
          <w:p w:rsidR="00884A2D" w:rsidRPr="008814B8" w:rsidRDefault="00884A2D" w:rsidP="00604639">
            <w:pPr>
              <w:spacing w:before="60" w:after="60"/>
            </w:pPr>
            <w:r w:rsidRPr="008814B8">
              <w:t xml:space="preserve">Use of capital letters, full stops, question marks and exclamation marks to demarcate </w:t>
            </w:r>
            <w:r w:rsidRPr="008814B8">
              <w:rPr>
                <w:b/>
                <w:bCs/>
              </w:rPr>
              <w:t>sentences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>Commas to separate items in a list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rPr>
                <w:b/>
                <w:bCs/>
              </w:rPr>
              <w:t>Apostrophes</w:t>
            </w:r>
            <w:r w:rsidRPr="008814B8">
              <w:t xml:space="preserve"> to mark where letters are missing in spelling and to mark singular possession in nouns [for example, </w:t>
            </w:r>
            <w:r w:rsidRPr="008814B8">
              <w:rPr>
                <w:i/>
                <w:iCs/>
              </w:rPr>
              <w:t>the girl’s name</w:t>
            </w:r>
            <w:r w:rsidRPr="008814B8">
              <w:t>]</w:t>
            </w:r>
          </w:p>
        </w:tc>
      </w:tr>
      <w:tr w:rsidR="00884A2D" w:rsidRPr="008814B8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884A2D" w:rsidRPr="008814B8" w:rsidRDefault="00884A2D" w:rsidP="00604639">
            <w:pPr>
              <w:spacing w:before="60" w:after="60"/>
              <w:rPr>
                <w:b/>
                <w:bCs/>
              </w:rPr>
            </w:pPr>
            <w:r w:rsidRPr="008814B8">
              <w:rPr>
                <w:b/>
                <w:bCs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884A2D" w:rsidRPr="008814B8" w:rsidRDefault="00884A2D" w:rsidP="00604639">
            <w:pPr>
              <w:spacing w:before="60" w:after="60"/>
              <w:rPr>
                <w:lang w:val="fr-FR"/>
              </w:rPr>
            </w:pPr>
            <w:r w:rsidRPr="008814B8">
              <w:rPr>
                <w:lang w:val="fr-FR"/>
              </w:rPr>
              <w:t>noun, noun phrase</w:t>
            </w:r>
          </w:p>
          <w:p w:rsidR="00884A2D" w:rsidRPr="008814B8" w:rsidRDefault="00884A2D" w:rsidP="00604639">
            <w:pPr>
              <w:spacing w:before="60" w:after="60"/>
              <w:rPr>
                <w:lang w:val="fr-FR"/>
              </w:rPr>
            </w:pPr>
            <w:r w:rsidRPr="008814B8">
              <w:rPr>
                <w:lang w:val="fr-FR"/>
              </w:rPr>
              <w:t>statement, question, exclamation, command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>compound, suffix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>adjective, adverb, verb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>tense (past, present)</w:t>
            </w:r>
          </w:p>
          <w:p w:rsidR="00884A2D" w:rsidRPr="008814B8" w:rsidRDefault="00884A2D" w:rsidP="00604639">
            <w:pPr>
              <w:spacing w:before="60" w:after="60"/>
            </w:pPr>
            <w:r w:rsidRPr="008814B8">
              <w:t>apostrophe, comma</w:t>
            </w:r>
          </w:p>
        </w:tc>
      </w:tr>
    </w:tbl>
    <w:p w:rsidR="00884A2D" w:rsidRDefault="00884A2D" w:rsidP="00F00BAD">
      <w:pPr>
        <w:jc w:val="both"/>
        <w:rPr>
          <w:sz w:val="28"/>
          <w:szCs w:val="28"/>
        </w:rPr>
      </w:pPr>
    </w:p>
    <w:sectPr w:rsidR="00884A2D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2D" w:rsidRDefault="00884A2D">
      <w:pPr>
        <w:spacing w:after="0" w:line="240" w:lineRule="auto"/>
      </w:pPr>
      <w:r>
        <w:separator/>
      </w:r>
    </w:p>
  </w:endnote>
  <w:endnote w:type="continuationSeparator" w:id="1">
    <w:p w:rsidR="00884A2D" w:rsidRDefault="0088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2D" w:rsidRDefault="00884A2D" w:rsidP="008814B8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2VGP Appendix</w:t>
    </w:r>
    <w:r>
      <w:rPr>
        <w:rFonts w:ascii="Cambria" w:hAnsi="Cambria" w:cs="Cambria"/>
      </w:rPr>
      <w:tab/>
      <w:t xml:space="preserve">Page </w:t>
    </w:r>
    <w:fldSimple w:instr=" PAGE   \* MERGEFORMAT ">
      <w:r w:rsidRPr="00742751">
        <w:rPr>
          <w:rFonts w:ascii="Cambria" w:hAnsi="Cambria" w:cs="Cambria"/>
          <w:noProof/>
        </w:rPr>
        <w:t>1</w:t>
      </w:r>
    </w:fldSimple>
  </w:p>
  <w:p w:rsidR="00884A2D" w:rsidRDefault="00884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2D" w:rsidRDefault="00884A2D">
      <w:pPr>
        <w:spacing w:after="0" w:line="240" w:lineRule="auto"/>
      </w:pPr>
      <w:r>
        <w:separator/>
      </w:r>
    </w:p>
  </w:footnote>
  <w:footnote w:type="continuationSeparator" w:id="1">
    <w:p w:rsidR="00884A2D" w:rsidRDefault="00884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BC"/>
    <w:rsid w:val="00061D36"/>
    <w:rsid w:val="000A706B"/>
    <w:rsid w:val="00163BE4"/>
    <w:rsid w:val="003179E0"/>
    <w:rsid w:val="003528AF"/>
    <w:rsid w:val="00531220"/>
    <w:rsid w:val="00604639"/>
    <w:rsid w:val="00605CCC"/>
    <w:rsid w:val="00742751"/>
    <w:rsid w:val="0084144E"/>
    <w:rsid w:val="0087369C"/>
    <w:rsid w:val="008814B8"/>
    <w:rsid w:val="00884A2D"/>
    <w:rsid w:val="00953DBF"/>
    <w:rsid w:val="00A96C53"/>
    <w:rsid w:val="00B31EB6"/>
    <w:rsid w:val="00B720BC"/>
    <w:rsid w:val="00C36498"/>
    <w:rsid w:val="00D0387B"/>
    <w:rsid w:val="00D4658A"/>
    <w:rsid w:val="00E5276D"/>
    <w:rsid w:val="00E72B10"/>
    <w:rsid w:val="00F00BAD"/>
    <w:rsid w:val="00F7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CC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270</Words>
  <Characters>1540</Characters>
  <Application>Microsoft Office Outlook</Application>
  <DocSecurity>0</DocSecurity>
  <Lines>0</Lines>
  <Paragraphs>0</Paragraphs>
  <ScaleCrop>false</ScaleCrop>
  <Company>Goostry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Shanks</dc:creator>
  <cp:keywords/>
  <dc:description/>
  <cp:lastModifiedBy>Teacher</cp:lastModifiedBy>
  <cp:revision>2</cp:revision>
  <cp:lastPrinted>2013-10-20T20:16:00Z</cp:lastPrinted>
  <dcterms:created xsi:type="dcterms:W3CDTF">2014-05-28T23:07:00Z</dcterms:created>
  <dcterms:modified xsi:type="dcterms:W3CDTF">2014-05-28T23:07:00Z</dcterms:modified>
</cp:coreProperties>
</file>